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_GBK" w:hAnsi="方正小标宋_GBK" w:eastAsia="方正小标宋_GBK" w:cs="方正小标宋_GBK"/>
          <w:b w:val="0"/>
          <w:i w:val="0"/>
          <w:caps w:val="0"/>
          <w:color w:val="auto"/>
          <w:spacing w:val="0"/>
          <w:sz w:val="44"/>
          <w:szCs w:val="44"/>
        </w:rPr>
      </w:pPr>
      <w:bookmarkStart w:id="0" w:name="bookmark35"/>
      <w:r>
        <w:rPr>
          <w:rFonts w:hint="eastAsia" w:ascii="方正小标宋_GBK" w:hAnsi="方正小标宋_GBK" w:eastAsia="方正小标宋_GBK" w:cs="方正小标宋_GBK"/>
          <w:b w:val="0"/>
          <w:i w:val="0"/>
          <w:caps w:val="0"/>
          <w:color w:val="auto"/>
          <w:spacing w:val="0"/>
          <w:sz w:val="44"/>
          <w:szCs w:val="44"/>
        </w:rPr>
        <w:t>宜春市国有资产监督管理委员会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_GBK" w:hAnsi="方正小标宋_GBK" w:eastAsia="方正小标宋_GBK" w:cs="方正小标宋_GBK"/>
          <w:b w:val="0"/>
          <w:i w:val="0"/>
          <w:caps w:val="0"/>
          <w:color w:val="auto"/>
          <w:spacing w:val="0"/>
          <w:sz w:val="44"/>
          <w:szCs w:val="44"/>
        </w:rPr>
      </w:pPr>
      <w:r>
        <w:rPr>
          <w:rFonts w:hint="eastAsia" w:ascii="方正小标宋_GBK" w:hAnsi="方正小标宋_GBK" w:eastAsia="方正小标宋_GBK" w:cs="方正小标宋_GBK"/>
          <w:b w:val="0"/>
          <w:i w:val="0"/>
          <w:caps w:val="0"/>
          <w:color w:val="auto"/>
          <w:spacing w:val="0"/>
          <w:sz w:val="44"/>
          <w:szCs w:val="44"/>
        </w:rPr>
        <w:t>202</w:t>
      </w:r>
      <w:r>
        <w:rPr>
          <w:rFonts w:hint="eastAsia" w:ascii="方正小标宋_GBK" w:hAnsi="方正小标宋_GBK" w:eastAsia="方正小标宋_GBK" w:cs="方正小标宋_GBK"/>
          <w:b w:val="0"/>
          <w:i w:val="0"/>
          <w:caps w:val="0"/>
          <w:color w:val="auto"/>
          <w:spacing w:val="0"/>
          <w:sz w:val="44"/>
          <w:szCs w:val="44"/>
          <w:lang w:val="en-US" w:eastAsia="zh-CN"/>
        </w:rPr>
        <w:t>3</w:t>
      </w:r>
      <w:r>
        <w:rPr>
          <w:rFonts w:hint="eastAsia" w:ascii="方正小标宋_GBK" w:hAnsi="方正小标宋_GBK" w:eastAsia="方正小标宋_GBK" w:cs="方正小标宋_GBK"/>
          <w:b w:val="0"/>
          <w:i w:val="0"/>
          <w:caps w:val="0"/>
          <w:color w:val="auto"/>
          <w:spacing w:val="0"/>
          <w:sz w:val="44"/>
          <w:szCs w:val="44"/>
        </w:rPr>
        <w:t>年政府信息公开工作年度报告</w:t>
      </w:r>
    </w:p>
    <w:p>
      <w:pPr>
        <w:pStyle w:val="15"/>
        <w:keepNext w:val="0"/>
        <w:keepLines w:val="0"/>
        <w:widowControl w:val="0"/>
        <w:shd w:val="clear" w:color="auto" w:fill="auto"/>
        <w:tabs>
          <w:tab w:val="left" w:pos="1230"/>
        </w:tabs>
        <w:bidi w:val="0"/>
        <w:spacing w:before="0" w:after="280" w:line="240" w:lineRule="auto"/>
        <w:ind w:left="0" w:right="0" w:firstLine="620"/>
        <w:jc w:val="left"/>
        <w:rPr>
          <w:color w:val="000000"/>
          <w:spacing w:val="0"/>
          <w:w w:val="100"/>
          <w:position w:val="0"/>
        </w:rPr>
      </w:pP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spacing w:val="0"/>
          <w:sz w:val="48"/>
          <w:szCs w:val="48"/>
        </w:rPr>
      </w:pPr>
      <w:r>
        <w:rPr>
          <w:rFonts w:ascii="宋体" w:hAnsi="宋体" w:eastAsia="宋体" w:cs="宋体"/>
          <w:spacing w:val="0"/>
          <w:sz w:val="28"/>
          <w:szCs w:val="28"/>
          <w:bdr w:val="none" w:color="auto" w:sz="0" w:space="0"/>
        </w:rPr>
        <w:t> </w:t>
      </w:r>
    </w:p>
    <w:p>
      <w:pPr>
        <w:pStyle w:val="6"/>
        <w:keepNext w:val="0"/>
        <w:keepLines w:val="0"/>
        <w:widowControl/>
        <w:suppressLineNumbers w:val="0"/>
        <w:spacing w:before="0" w:beforeAutospacing="0" w:after="0" w:afterAutospacing="0" w:line="600" w:lineRule="atLeast"/>
        <w:ind w:left="0" w:right="0" w:firstLine="620"/>
        <w:jc w:val="both"/>
      </w:pPr>
      <w:r>
        <w:rPr>
          <w:rFonts w:ascii="仿宋_gb2312" w:hAnsi="仿宋_gb2312" w:eastAsia="仿宋_gb2312" w:cs="仿宋_gb2312"/>
          <w:spacing w:val="0"/>
          <w:sz w:val="32"/>
          <w:szCs w:val="32"/>
        </w:rPr>
        <w:t>本报告依据《中华人民共和国政府信息公开条例》（国务院令第</w:t>
      </w:r>
      <w:r>
        <w:rPr>
          <w:rFonts w:hint="default" w:ascii="仿宋_gb2312" w:hAnsi="仿宋_gb2312" w:eastAsia="仿宋_gb2312" w:cs="仿宋_gb2312"/>
          <w:spacing w:val="0"/>
          <w:sz w:val="32"/>
          <w:szCs w:val="32"/>
        </w:rPr>
        <w:t>711号，以下简称新《条例》）和《国务院办公厅政府信息与政务公开办公室关于政府信息公开工作年度报告有关事项的通知》（国办公开办函〔2019〕60号）要求，由宜春市国有资产监督管理委员会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本年度报告的电子版可以从宜春市国有资产监督管理委员会网站（http://gzw.yichun.gov.cn/）下载。如对本报告有任何疑问，请与宜春市国有资产监督管理委员会秘书科联系（地址：宜春市市政大楼十楼1066室，电话：0795-3198889，邮编：336000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default" w:ascii="Times New Roman" w:hAnsi="Times New Roman" w:cs="Times New Roman"/>
          <w:spacing w:val="0"/>
          <w:sz w:val="24"/>
          <w:szCs w:val="24"/>
        </w:rPr>
      </w:pPr>
      <w:r>
        <w:rPr>
          <w:rFonts w:ascii="方正黑体_GBK" w:hAnsi="方正黑体_GBK" w:eastAsia="方正黑体_GBK" w:cs="方正黑体_GBK"/>
          <w:spacing w:val="0"/>
          <w:kern w:val="0"/>
          <w:sz w:val="32"/>
          <w:szCs w:val="32"/>
          <w:bdr w:val="none" w:color="auto" w:sz="0" w:space="0"/>
          <w:lang w:val="en-US" w:eastAsia="zh-CN" w:bidi="ar"/>
        </w:rPr>
        <w:t>一、总体情况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default" w:ascii="Times New Roman" w:hAnsi="Times New Roman" w:cs="Times New Roman"/>
          <w:spacing w:val="0"/>
          <w:sz w:val="24"/>
          <w:szCs w:val="24"/>
        </w:rPr>
      </w:pPr>
      <w:r>
        <w:rPr>
          <w:rFonts w:hint="default" w:ascii="仿宋_gb2312" w:hAnsi="仿宋_gb2312" w:eastAsia="仿宋_gb2312" w:cs="仿宋_gb2312"/>
          <w:spacing w:val="0"/>
          <w:kern w:val="0"/>
          <w:sz w:val="32"/>
          <w:szCs w:val="32"/>
          <w:bdr w:val="none" w:color="auto" w:sz="0" w:space="0"/>
          <w:lang w:val="en-US" w:eastAsia="zh-CN" w:bidi="ar"/>
        </w:rPr>
        <w:t>2023年宜春市国有资产监督管理委员会认真贯彻落实《国务院办公厅印发〈关于全面推进政务公开工作的意见〉实施细则的通知》（国办发〔2016〕80号）和市政府2023年政务公开工作要点，坚持“以公开为常态，不公开为例外”，积极推进政务公开标准化规范化建设，全面推进决策、执行、结果、管理和服务公开。2023年共调整规范栏目设置3个，发布政府信息公开内容396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spacing w:val="0"/>
          <w:sz w:val="24"/>
          <w:szCs w:val="24"/>
        </w:rPr>
      </w:pPr>
      <w:r>
        <w:rPr>
          <w:rFonts w:hint="default" w:ascii="仿宋_gb2312" w:hAnsi="仿宋_gb2312" w:eastAsia="仿宋_gb2312" w:cs="仿宋_gb2312"/>
          <w:spacing w:val="0"/>
          <w:kern w:val="0"/>
          <w:sz w:val="32"/>
          <w:szCs w:val="32"/>
          <w:bdr w:val="none" w:color="auto" w:sz="0" w:space="0"/>
          <w:lang w:val="en-US" w:eastAsia="zh-CN" w:bidi="ar"/>
        </w:rPr>
        <w:t>（一）</w:t>
      </w:r>
      <w:r>
        <w:rPr>
          <w:rFonts w:hint="default" w:ascii="仿宋_gb2312" w:hAnsi="仿宋_gb2312" w:eastAsia="仿宋_gb2312" w:cs="仿宋_gb2312"/>
          <w:b/>
          <w:bCs/>
          <w:spacing w:val="0"/>
          <w:kern w:val="0"/>
          <w:sz w:val="32"/>
          <w:szCs w:val="32"/>
          <w:bdr w:val="none" w:color="auto" w:sz="0" w:space="0"/>
          <w:lang w:val="en-US" w:eastAsia="zh-CN" w:bidi="ar"/>
        </w:rPr>
        <w:t>及时主动公开政府信息。</w:t>
      </w:r>
      <w:r>
        <w:rPr>
          <w:rFonts w:hint="default" w:ascii="仿宋_gb2312" w:hAnsi="仿宋_gb2312" w:eastAsia="仿宋_gb2312" w:cs="仿宋_gb2312"/>
          <w:spacing w:val="0"/>
          <w:kern w:val="0"/>
          <w:sz w:val="32"/>
          <w:szCs w:val="32"/>
          <w:bdr w:val="none" w:color="auto" w:sz="0" w:space="0"/>
          <w:lang w:val="en-US" w:eastAsia="zh-CN" w:bidi="ar"/>
        </w:rPr>
        <w:t>2023年，在市委、市政府的坚强领导下，宜春市国有资产监督管理委员会坚持以习近平新时代中国特色社会主义思想为指导，紧紧围绕中央、省、市关于全面推进政务公开工作的系列部署，持续加大政府信息公开力度：设置了政府信息公开专栏，开辟了政府信息公开指南、制度、内容、年报等子栏目，并将内容栏目细化为部门介绍、领导信息、公示公告、其他有关文件、政策文件、规划计划、财政资金、决策部署落实、解读回应、国资信息公开等，并及时公开有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2"/>
        <w:jc w:val="both"/>
        <w:rPr>
          <w:rFonts w:hint="default" w:ascii="Times New Roman" w:hAnsi="Times New Roman" w:cs="Times New Roman"/>
          <w:spacing w:val="0"/>
          <w:sz w:val="24"/>
          <w:szCs w:val="24"/>
        </w:rPr>
      </w:pPr>
      <w:r>
        <w:rPr>
          <w:rFonts w:hint="default" w:ascii="仿宋_gb2312" w:hAnsi="仿宋_gb2312" w:eastAsia="仿宋_gb2312" w:cs="仿宋_gb2312"/>
          <w:b/>
          <w:bCs/>
          <w:spacing w:val="0"/>
          <w:kern w:val="0"/>
          <w:sz w:val="32"/>
          <w:szCs w:val="32"/>
          <w:bdr w:val="none" w:color="auto" w:sz="0" w:space="0"/>
          <w:lang w:val="en-US" w:eastAsia="zh-CN" w:bidi="ar"/>
        </w:rPr>
        <w:t>（二）依法办理政府信息依申请公开。</w:t>
      </w:r>
      <w:r>
        <w:rPr>
          <w:rFonts w:hint="default" w:ascii="仿宋_gb2312" w:hAnsi="仿宋_gb2312" w:eastAsia="仿宋_gb2312" w:cs="仿宋_gb2312"/>
          <w:spacing w:val="0"/>
          <w:kern w:val="0"/>
          <w:sz w:val="32"/>
          <w:szCs w:val="32"/>
          <w:bdr w:val="none" w:color="auto" w:sz="0" w:space="0"/>
          <w:lang w:val="en-US" w:eastAsia="zh-CN" w:bidi="ar"/>
        </w:rPr>
        <w:t>2023年，我委注重依申请公开时效性、准确性、畅通性，及时更新政府信息公开指南，畅通电话等咨询渠道，做好依申请公开案件的登记、审核、办理、答复、归档等流程，办理时与申请人逐个电话沟通联系，了解相关诉求，做到咨询的具体问题可以得到有效回应，全年共完成2件群众申请公开事项，均按规定作出答复。法定时限办结率100%，未引起行政复议和诉讼。</w:t>
      </w:r>
    </w:p>
    <w:p>
      <w:pPr>
        <w:keepNext w:val="0"/>
        <w:keepLines w:val="0"/>
        <w:widowControl/>
        <w:suppressLineNumbers w:val="0"/>
        <w:spacing w:before="0" w:beforeAutospacing="0" w:after="0" w:afterAutospacing="0" w:line="600" w:lineRule="atLeast"/>
        <w:ind w:left="0" w:right="0" w:firstLine="600"/>
        <w:jc w:val="left"/>
        <w:rPr>
          <w:rFonts w:hint="default" w:ascii="Times New Roman" w:hAnsi="Times New Roman" w:cs="Times New Roman"/>
          <w:spacing w:val="0"/>
          <w:sz w:val="24"/>
          <w:szCs w:val="24"/>
        </w:rPr>
      </w:pPr>
      <w:r>
        <w:rPr>
          <w:rFonts w:hint="default" w:ascii="仿宋_gb2312" w:hAnsi="仿宋_gb2312" w:eastAsia="仿宋_gb2312" w:cs="仿宋_gb2312"/>
          <w:b/>
          <w:bCs/>
          <w:color w:val="000000"/>
          <w:spacing w:val="0"/>
          <w:w w:val="100"/>
          <w:kern w:val="0"/>
          <w:position w:val="0"/>
          <w:sz w:val="32"/>
          <w:szCs w:val="32"/>
          <w:shd w:val="clear" w:color="auto" w:fill="auto"/>
          <w:lang w:val="en-US" w:eastAsia="zh-CN" w:bidi="ar"/>
        </w:rPr>
        <w:t>（三）</w:t>
      </w:r>
      <w:r>
        <w:rPr>
          <w:rFonts w:ascii="楷体_GB2312" w:hAnsi="Times New Roman" w:eastAsia="楷体_GB2312" w:cs="楷体_GB2312"/>
          <w:color w:val="000000"/>
          <w:spacing w:val="0"/>
          <w:w w:val="100"/>
          <w:kern w:val="0"/>
          <w:position w:val="0"/>
          <w:sz w:val="32"/>
          <w:szCs w:val="32"/>
          <w:shd w:val="clear" w:color="auto" w:fill="auto"/>
          <w:lang w:val="en-US" w:eastAsia="zh-CN" w:bidi="ar"/>
        </w:rPr>
        <w:t>严格政府信息管理和发布</w:t>
      </w:r>
      <w:r>
        <w:rPr>
          <w:rFonts w:hint="default" w:ascii="仿宋_gb2312" w:hAnsi="仿宋_gb2312" w:eastAsia="仿宋_gb2312" w:cs="仿宋_gb2312"/>
          <w:b/>
          <w:bCs/>
          <w:color w:val="000000"/>
          <w:spacing w:val="0"/>
          <w:w w:val="100"/>
          <w:kern w:val="0"/>
          <w:position w:val="0"/>
          <w:sz w:val="32"/>
          <w:szCs w:val="32"/>
          <w:shd w:val="clear" w:color="auto" w:fill="auto"/>
          <w:lang w:val="en-US" w:eastAsia="zh-CN" w:bidi="ar"/>
        </w:rPr>
        <w:t>。</w:t>
      </w:r>
      <w:r>
        <w:rPr>
          <w:rFonts w:hint="default" w:ascii="仿宋_gb2312" w:hAnsi="仿宋_gb2312" w:eastAsia="仿宋_gb2312" w:cs="仿宋_gb2312"/>
          <w:color w:val="000000"/>
          <w:spacing w:val="0"/>
          <w:w w:val="100"/>
          <w:kern w:val="0"/>
          <w:position w:val="0"/>
          <w:sz w:val="32"/>
          <w:szCs w:val="32"/>
          <w:shd w:val="clear" w:color="auto" w:fill="auto"/>
          <w:lang w:val="en-US" w:eastAsia="zh-CN" w:bidi="ar"/>
        </w:rPr>
        <w:t>2023年，我委重点加强了网站、微信公众号的建设、运营。严格落实信息“三审三校”发布制度，坚持做到公开的内容由科室负责人、分管业务和宣传工作领导审核把关后方可发布，确保信息公开发布内容规范、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default" w:ascii="Times New Roman" w:hAnsi="Times New Roman" w:cs="Times New Roman"/>
          <w:spacing w:val="0"/>
          <w:sz w:val="24"/>
          <w:szCs w:val="24"/>
        </w:rPr>
      </w:pPr>
      <w:r>
        <w:rPr>
          <w:rFonts w:hint="default" w:ascii="仿宋_gb2312" w:hAnsi="仿宋_gb2312" w:eastAsia="仿宋_gb2312" w:cs="仿宋_gb2312"/>
          <w:b/>
          <w:bCs/>
          <w:spacing w:val="0"/>
          <w:kern w:val="0"/>
          <w:sz w:val="32"/>
          <w:szCs w:val="32"/>
          <w:bdr w:val="none" w:color="auto" w:sz="0" w:space="0"/>
          <w:lang w:val="en-US" w:eastAsia="zh-CN" w:bidi="ar"/>
        </w:rPr>
        <w:t>（四）互动回应情况。</w:t>
      </w:r>
      <w:r>
        <w:rPr>
          <w:rFonts w:hint="default" w:ascii="仿宋_gb2312" w:hAnsi="仿宋_gb2312" w:eastAsia="仿宋_gb2312" w:cs="仿宋_gb2312"/>
          <w:spacing w:val="0"/>
          <w:kern w:val="0"/>
          <w:sz w:val="32"/>
          <w:szCs w:val="32"/>
          <w:bdr w:val="none" w:color="auto" w:sz="0" w:space="0"/>
          <w:lang w:val="en-US" w:eastAsia="zh-CN" w:bidi="ar"/>
        </w:rPr>
        <w:t>我委通过12345市长热线平台，增强了互动回应，一年来，我委共办理办结平台专办37条。其中转至出资监管企业办理33条，委机关专办4条，答复期限均不超过10个工作日，力争简易事项在5个工作日内办结答复。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default" w:ascii="Times New Roman" w:hAnsi="Times New Roman" w:cs="Times New Roman"/>
          <w:spacing w:val="0"/>
          <w:sz w:val="24"/>
          <w:szCs w:val="24"/>
        </w:rPr>
      </w:pPr>
      <w:r>
        <w:rPr>
          <w:rFonts w:hint="default" w:ascii="仿宋_gb2312" w:hAnsi="仿宋_gb2312" w:eastAsia="仿宋_gb2312" w:cs="仿宋_gb2312"/>
          <w:b/>
          <w:bCs/>
          <w:spacing w:val="0"/>
          <w:kern w:val="0"/>
          <w:sz w:val="32"/>
          <w:szCs w:val="32"/>
          <w:bdr w:val="none" w:color="auto" w:sz="0" w:space="0"/>
          <w:lang w:val="en-US" w:eastAsia="zh-CN" w:bidi="ar"/>
        </w:rPr>
        <w:t>（五）组织保障情况。</w:t>
      </w:r>
      <w:r>
        <w:rPr>
          <w:rFonts w:hint="default" w:ascii="仿宋_gb2312" w:hAnsi="仿宋_gb2312" w:eastAsia="仿宋_gb2312" w:cs="仿宋_gb2312"/>
          <w:spacing w:val="0"/>
          <w:kern w:val="0"/>
          <w:sz w:val="32"/>
          <w:szCs w:val="32"/>
          <w:bdr w:val="none" w:color="auto" w:sz="0" w:space="0"/>
          <w:lang w:val="en-US" w:eastAsia="zh-CN" w:bidi="ar"/>
        </w:rPr>
        <w:t>我委调整了政务公开领导小组组成人员，制定出台了保密审查制度、政务公开工作要点，网站、微信公众号管理办法，全方位提升了政府信息公开工作的组织保障和制度建设。</w:t>
      </w:r>
    </w:p>
    <w:p>
      <w:pPr>
        <w:pStyle w:val="6"/>
        <w:keepNext w:val="0"/>
        <w:keepLines w:val="0"/>
        <w:widowControl/>
        <w:suppressLineNumbers w:val="0"/>
        <w:spacing w:before="0" w:beforeAutospacing="0" w:after="0" w:afterAutospacing="0"/>
        <w:ind w:left="0" w:right="0" w:firstLine="640"/>
      </w:pPr>
      <w:r>
        <w:rPr>
          <w:rFonts w:hint="eastAsia" w:ascii="方正黑体_GBK" w:hAnsi="方正黑体_GBK" w:eastAsia="方正黑体_GBK" w:cs="方正黑体_GBK"/>
          <w:spacing w:val="0"/>
          <w:sz w:val="32"/>
          <w:szCs w:val="32"/>
        </w:rPr>
        <w:t>二、主动公开政府信息情况</w:t>
      </w:r>
    </w:p>
    <w:tbl>
      <w:tblPr>
        <w:tblW w:w="9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53"/>
        <w:gridCol w:w="2281"/>
        <w:gridCol w:w="1969"/>
        <w:gridCol w:w="2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 w:hRule="atLeast"/>
          <w:jc w:val="center"/>
        </w:trPr>
        <w:tc>
          <w:tcPr>
            <w:tcW w:w="9057"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信息内容</w:t>
            </w:r>
          </w:p>
        </w:tc>
        <w:tc>
          <w:tcPr>
            <w:tcW w:w="2281"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本年制发件数</w:t>
            </w:r>
          </w:p>
        </w:tc>
        <w:tc>
          <w:tcPr>
            <w:tcW w:w="196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本年废止件数</w:t>
            </w:r>
          </w:p>
        </w:tc>
        <w:tc>
          <w:tcPr>
            <w:tcW w:w="2554"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规章</w:t>
            </w:r>
          </w:p>
        </w:tc>
        <w:tc>
          <w:tcPr>
            <w:tcW w:w="22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c>
          <w:tcPr>
            <w:tcW w:w="196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c>
          <w:tcPr>
            <w:tcW w:w="2554"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行政规范性文件</w:t>
            </w:r>
          </w:p>
        </w:tc>
        <w:tc>
          <w:tcPr>
            <w:tcW w:w="22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2</w:t>
            </w:r>
          </w:p>
        </w:tc>
        <w:tc>
          <w:tcPr>
            <w:tcW w:w="196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c>
          <w:tcPr>
            <w:tcW w:w="2554"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057"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信息内容</w:t>
            </w:r>
          </w:p>
        </w:tc>
        <w:tc>
          <w:tcPr>
            <w:tcW w:w="6804" w:type="dxa"/>
            <w:gridSpan w:val="3"/>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行政许可</w:t>
            </w:r>
          </w:p>
        </w:tc>
        <w:tc>
          <w:tcPr>
            <w:tcW w:w="6804" w:type="dxa"/>
            <w:gridSpan w:val="3"/>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18"/>
                <w:szCs w:val="18"/>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9057"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信息内容</w:t>
            </w:r>
          </w:p>
        </w:tc>
        <w:tc>
          <w:tcPr>
            <w:tcW w:w="6804" w:type="dxa"/>
            <w:gridSpan w:val="3"/>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行政处罚</w:t>
            </w:r>
          </w:p>
        </w:tc>
        <w:tc>
          <w:tcPr>
            <w:tcW w:w="6804" w:type="dxa"/>
            <w:gridSpan w:val="3"/>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行政强制</w:t>
            </w:r>
          </w:p>
        </w:tc>
        <w:tc>
          <w:tcPr>
            <w:tcW w:w="6804" w:type="dxa"/>
            <w:gridSpan w:val="3"/>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057"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信息内容</w:t>
            </w:r>
          </w:p>
        </w:tc>
        <w:tc>
          <w:tcPr>
            <w:tcW w:w="6804"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本年收费金额</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w:t>
            </w: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单位</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w:t>
            </w: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万元</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jc w:val="center"/>
        </w:trPr>
        <w:tc>
          <w:tcPr>
            <w:tcW w:w="225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行政事业性收费</w:t>
            </w:r>
          </w:p>
        </w:tc>
        <w:tc>
          <w:tcPr>
            <w:tcW w:w="6804"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r>
    </w:tbl>
    <w:p>
      <w:pPr>
        <w:keepNext w:val="0"/>
        <w:keepLines w:val="0"/>
        <w:widowControl/>
        <w:suppressLineNumbers w:val="0"/>
        <w:spacing w:before="0" w:beforeAutospacing="0" w:after="279" w:afterAutospacing="0" w:line="1" w:lineRule="atLeast"/>
        <w:ind w:left="0" w:right="0" w:firstLine="0"/>
        <w:jc w:val="left"/>
        <w:rPr>
          <w:rFonts w:hint="default" w:ascii="Times New Roman" w:hAnsi="Times New Roman" w:cs="Times New Roman"/>
          <w:spacing w:val="0"/>
          <w:sz w:val="24"/>
          <w:szCs w:val="24"/>
        </w:rPr>
      </w:pPr>
      <w:r>
        <w:rPr>
          <w:rFonts w:hint="default" w:ascii="Times New Roman" w:hAnsi="Times New Roman" w:eastAsia="Times New Roman" w:cs="Times New Roman"/>
          <w:color w:val="000000"/>
          <w:spacing w:val="0"/>
          <w:w w:val="100"/>
          <w:kern w:val="0"/>
          <w:position w:val="0"/>
          <w:sz w:val="24"/>
          <w:szCs w:val="24"/>
          <w:shd w:val="clear" w:color="auto" w:fill="auto"/>
          <w:lang w:val="en-US" w:eastAsia="zh-CN" w:bidi="ar"/>
        </w:rPr>
        <w:t> </w:t>
      </w:r>
    </w:p>
    <w:p>
      <w:pPr>
        <w:pStyle w:val="6"/>
        <w:keepNext w:val="0"/>
        <w:keepLines w:val="0"/>
        <w:widowControl/>
        <w:suppressLineNumbers w:val="0"/>
        <w:spacing w:before="0" w:beforeAutospacing="0" w:after="280" w:afterAutospacing="0"/>
        <w:ind w:left="0" w:right="0" w:firstLine="640"/>
      </w:pPr>
      <w:r>
        <w:rPr>
          <w:rFonts w:hint="eastAsia" w:ascii="方正黑体_GBK" w:hAnsi="方正黑体_GBK" w:eastAsia="方正黑体_GBK" w:cs="方正黑体_GBK"/>
          <w:spacing w:val="0"/>
          <w:sz w:val="32"/>
          <w:szCs w:val="32"/>
        </w:rPr>
        <w:t>三、收到和处理政府信息公开申请情况</w:t>
      </w:r>
    </w:p>
    <w:tbl>
      <w:tblPr>
        <w:tblpPr w:leftFromText="180" w:rightFromText="180" w:vertAnchor="text" w:horzAnchor="page" w:tblpXSpec="center" w:tblpY="759"/>
        <w:tblOverlap w:val="never"/>
        <w:tblW w:w="9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1"/>
        <w:gridCol w:w="949"/>
        <w:gridCol w:w="2293"/>
        <w:gridCol w:w="866"/>
        <w:gridCol w:w="568"/>
        <w:gridCol w:w="643"/>
        <w:gridCol w:w="757"/>
        <w:gridCol w:w="846"/>
        <w:gridCol w:w="419"/>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053"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（本列数据的勾稽关系为：第一项加第二项之和，等于第三项加第四项之和）</w:t>
            </w:r>
          </w:p>
        </w:tc>
        <w:tc>
          <w:tcPr>
            <w:tcW w:w="5026"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申</w:t>
            </w:r>
            <w:bookmarkStart w:id="1" w:name="_GoBack"/>
            <w:bookmarkEnd w:id="1"/>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053"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86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自然人</w:t>
            </w:r>
          </w:p>
        </w:tc>
        <w:tc>
          <w:tcPr>
            <w:tcW w:w="3233"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法人或其他组织</w:t>
            </w:r>
          </w:p>
        </w:tc>
        <w:tc>
          <w:tcPr>
            <w:tcW w:w="927"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053"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866"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商业企业</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科研机构</w:t>
            </w:r>
          </w:p>
        </w:tc>
        <w:tc>
          <w:tcPr>
            <w:tcW w:w="75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社会公益组织</w:t>
            </w:r>
          </w:p>
        </w:tc>
        <w:tc>
          <w:tcPr>
            <w:tcW w:w="84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法律服务机构</w:t>
            </w:r>
          </w:p>
        </w:tc>
        <w:tc>
          <w:tcPr>
            <w:tcW w:w="4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其他</w:t>
            </w:r>
          </w:p>
        </w:tc>
        <w:tc>
          <w:tcPr>
            <w:tcW w:w="927"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4053"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一、本年新收政府信息公开申请数量</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2</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 </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053"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二、上年结转政府信息公开申请数量</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 </w:t>
            </w: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三、本年度办理结果</w:t>
            </w:r>
          </w:p>
        </w:tc>
        <w:tc>
          <w:tcPr>
            <w:tcW w:w="3242"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ascii="楷体" w:hAnsi="楷体" w:eastAsia="楷体" w:cs="楷体"/>
                <w:color w:val="000000"/>
                <w:spacing w:val="0"/>
                <w:w w:val="100"/>
                <w:kern w:val="0"/>
                <w:position w:val="0"/>
                <w:sz w:val="20"/>
                <w:szCs w:val="20"/>
                <w:bdr w:val="none" w:color="auto" w:sz="0" w:space="0"/>
                <w:shd w:val="clear" w:color="auto" w:fill="auto"/>
                <w:lang w:val="en-US" w:eastAsia="zh-CN" w:bidi="ar"/>
              </w:rPr>
              <w:t>（一）予以公开</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 </w:t>
            </w: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   </w:t>
            </w: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3242"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（二）部分公开（区分处理的，只计这一情形，不计其他情形）</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（三）不予公开</w:t>
            </w: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1.</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属于国家秘密</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2.</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其他法律行政法规禁止公开</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3.</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危及</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三安全一稳定</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4.</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保护第三方合法权益</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5.</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属于三类内部事务信息</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6.</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属于四类过程性信息</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7.</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属于行政执法案卷</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8.</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属于行政查询事项</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（四）无法提供</w:t>
            </w: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1.</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本机关不掌握相关政府信息</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2</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0 </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2.</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没有现成信息需要另行制作</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3.</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补正后申请内容仍不明确</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（五）不予处理</w:t>
            </w: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1.</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信访举报投诉类申请</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2.</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重复申请</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3.</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要求提供公开出版物</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4.</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无正当理由大量反复申请</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5.</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要求行政机关确认或重新出具已获取信息</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restart"/>
            <w:tcBorders>
              <w:top w:val="nil"/>
              <w:left w:val="nil"/>
              <w:bottom w:val="nil"/>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（六）其他处理</w:t>
            </w: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1.</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申请人无正当理由逾期不补正、行政机关不再处理其政府信息公开申请</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nil"/>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2.</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申请人逾期未按收费通知要求缴纳费用、行政机关不再处理其政府信息公开申请</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949" w:type="dxa"/>
            <w:vMerge w:val="continue"/>
            <w:tcBorders>
              <w:top w:val="nil"/>
              <w:left w:val="nil"/>
              <w:bottom w:val="nil"/>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229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3.</w:t>
            </w: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其他</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1"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Microsoft YaHei" w:hAnsi="Microsoft YaHei" w:eastAsia="Microsoft YaHei" w:cs="Microsoft YaHei"/>
                <w:color w:val="000000"/>
                <w:sz w:val="20"/>
                <w:szCs w:val="20"/>
              </w:rPr>
            </w:pPr>
          </w:p>
        </w:tc>
        <w:tc>
          <w:tcPr>
            <w:tcW w:w="3242"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default" w:ascii="楷体" w:hAnsi="楷体" w:eastAsia="楷体" w:cs="楷体"/>
                <w:color w:val="000000"/>
                <w:spacing w:val="0"/>
                <w:w w:val="100"/>
                <w:kern w:val="0"/>
                <w:position w:val="0"/>
                <w:sz w:val="20"/>
                <w:szCs w:val="20"/>
                <w:bdr w:val="none" w:color="auto" w:sz="0" w:space="0"/>
                <w:shd w:val="clear" w:color="auto" w:fill="auto"/>
                <w:lang w:val="en-US" w:eastAsia="zh-CN" w:bidi="ar"/>
              </w:rPr>
              <w:t>（七）总计</w:t>
            </w:r>
          </w:p>
        </w:tc>
        <w:tc>
          <w:tcPr>
            <w:tcW w:w="86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2</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053"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00" w:lineRule="atLeast"/>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四、结转下年度继续办理</w:t>
            </w:r>
          </w:p>
        </w:tc>
        <w:tc>
          <w:tcPr>
            <w:tcW w:w="86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r>
              <w:rPr>
                <w:rFonts w:hint="default" w:ascii="Times New Roman" w:hAnsi="Times New Roman" w:eastAsia="Microsoft YaHei" w:cs="Times New Roman"/>
                <w:color w:val="000000"/>
                <w:spacing w:val="0"/>
                <w:w w:val="100"/>
                <w:kern w:val="0"/>
                <w:position w:val="0"/>
                <w:sz w:val="20"/>
                <w:szCs w:val="20"/>
                <w:bdr w:val="none" w:color="auto" w:sz="0" w:space="0"/>
                <w:shd w:val="clear" w:color="auto" w:fill="auto"/>
                <w:lang w:val="en-US" w:eastAsia="zh-CN" w:bidi="ar"/>
              </w:rPr>
              <w:t> </w:t>
            </w:r>
          </w:p>
        </w:tc>
        <w:tc>
          <w:tcPr>
            <w:tcW w:w="5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7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8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92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bl>
    <w:p>
      <w:pPr>
        <w:pStyle w:val="6"/>
        <w:keepNext w:val="0"/>
        <w:keepLines w:val="0"/>
        <w:widowControl/>
        <w:suppressLineNumbers w:val="0"/>
      </w:pPr>
    </w:p>
    <w:p>
      <w:pPr>
        <w:pStyle w:val="6"/>
        <w:keepNext w:val="0"/>
        <w:keepLines w:val="0"/>
        <w:widowControl/>
        <w:suppressLineNumbers w:val="0"/>
        <w:spacing w:before="0" w:beforeAutospacing="0" w:after="260" w:afterAutospacing="0"/>
        <w:ind w:left="0" w:right="0" w:firstLine="640"/>
        <w:rPr>
          <w:sz w:val="27"/>
          <w:szCs w:val="27"/>
        </w:rPr>
      </w:pPr>
      <w:r>
        <w:rPr>
          <w:rFonts w:hint="eastAsia" w:ascii="方正黑体_GBK" w:hAnsi="方正黑体_GBK" w:eastAsia="方正黑体_GBK" w:cs="方正黑体_GBK"/>
          <w:spacing w:val="0"/>
          <w:sz w:val="32"/>
          <w:szCs w:val="32"/>
        </w:rPr>
        <w:t>四、政府信息公开行政复议、行政诉讼情况</w:t>
      </w:r>
    </w:p>
    <w:tbl>
      <w:tblPr>
        <w:tblW w:w="110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15"/>
        <w:gridCol w:w="593"/>
        <w:gridCol w:w="594"/>
        <w:gridCol w:w="610"/>
        <w:gridCol w:w="1314"/>
        <w:gridCol w:w="563"/>
        <w:gridCol w:w="610"/>
        <w:gridCol w:w="579"/>
        <w:gridCol w:w="610"/>
        <w:gridCol w:w="1408"/>
        <w:gridCol w:w="657"/>
        <w:gridCol w:w="454"/>
        <w:gridCol w:w="454"/>
        <w:gridCol w:w="469"/>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48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行政复议</w:t>
            </w:r>
          </w:p>
        </w:tc>
        <w:tc>
          <w:tcPr>
            <w:tcW w:w="7080"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5"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结果维持</w:t>
            </w:r>
          </w:p>
        </w:tc>
        <w:tc>
          <w:tcPr>
            <w:tcW w:w="570"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结果纠正</w:t>
            </w:r>
          </w:p>
        </w:tc>
        <w:tc>
          <w:tcPr>
            <w:tcW w:w="570"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其他结果</w:t>
            </w:r>
          </w:p>
        </w:tc>
        <w:tc>
          <w:tcPr>
            <w:tcW w:w="585"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尚未审结</w:t>
            </w:r>
          </w:p>
        </w:tc>
        <w:tc>
          <w:tcPr>
            <w:tcW w:w="435"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总计</w:t>
            </w:r>
          </w:p>
        </w:tc>
        <w:tc>
          <w:tcPr>
            <w:tcW w:w="361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未经复议直接起诉</w:t>
            </w:r>
          </w:p>
        </w:tc>
        <w:tc>
          <w:tcPr>
            <w:tcW w:w="32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5"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Microsoft YaHei" w:hAnsi="Microsoft YaHei" w:eastAsia="Microsoft YaHei" w:cs="Microsoft YaHei"/>
                <w:color w:val="000000"/>
                <w:sz w:val="20"/>
                <w:szCs w:val="20"/>
              </w:rPr>
            </w:pPr>
          </w:p>
        </w:tc>
        <w:tc>
          <w:tcPr>
            <w:tcW w:w="570"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Microsoft YaHei" w:hAnsi="Microsoft YaHei" w:eastAsia="Microsoft YaHei" w:cs="Microsoft YaHei"/>
                <w:color w:val="000000"/>
                <w:sz w:val="20"/>
                <w:szCs w:val="20"/>
              </w:rPr>
            </w:pPr>
          </w:p>
        </w:tc>
        <w:tc>
          <w:tcPr>
            <w:tcW w:w="570"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Microsoft YaHei" w:hAnsi="Microsoft YaHei" w:eastAsia="Microsoft YaHei" w:cs="Microsoft YaHei"/>
                <w:color w:val="000000"/>
                <w:sz w:val="20"/>
                <w:szCs w:val="20"/>
              </w:rPr>
            </w:pPr>
          </w:p>
        </w:tc>
        <w:tc>
          <w:tcPr>
            <w:tcW w:w="585"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Microsoft YaHei" w:hAnsi="Microsoft YaHei" w:eastAsia="Microsoft YaHei" w:cs="Microsoft YaHei"/>
                <w:color w:val="000000"/>
                <w:sz w:val="20"/>
                <w:szCs w:val="20"/>
              </w:rPr>
            </w:pPr>
          </w:p>
        </w:tc>
        <w:tc>
          <w:tcPr>
            <w:tcW w:w="435"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Microsoft YaHei" w:hAnsi="Microsoft YaHei" w:eastAsia="Microsoft YaHei" w:cs="Microsoft YaHei"/>
                <w:color w:val="000000"/>
                <w:sz w:val="20"/>
                <w:szCs w:val="20"/>
              </w:rPr>
            </w:pPr>
          </w:p>
        </w:tc>
        <w:tc>
          <w:tcPr>
            <w:tcW w:w="54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结果维持</w:t>
            </w:r>
          </w:p>
        </w:tc>
        <w:tc>
          <w:tcPr>
            <w:tcW w:w="58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结果纠正</w:t>
            </w:r>
          </w:p>
        </w:tc>
        <w:tc>
          <w:tcPr>
            <w:tcW w:w="55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其他结果</w:t>
            </w:r>
          </w:p>
        </w:tc>
        <w:tc>
          <w:tcPr>
            <w:tcW w:w="58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尚未审结</w:t>
            </w:r>
          </w:p>
        </w:tc>
        <w:tc>
          <w:tcPr>
            <w:tcW w:w="51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总计</w:t>
            </w:r>
          </w:p>
        </w:tc>
        <w:tc>
          <w:tcPr>
            <w:tcW w:w="63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结果维持</w:t>
            </w:r>
          </w:p>
        </w:tc>
        <w:tc>
          <w:tcPr>
            <w:tcW w:w="43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结果纠正</w:t>
            </w:r>
          </w:p>
        </w:tc>
        <w:tc>
          <w:tcPr>
            <w:tcW w:w="43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其他结果</w:t>
            </w:r>
          </w:p>
        </w:tc>
        <w:tc>
          <w:tcPr>
            <w:tcW w:w="4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尚未审结</w:t>
            </w:r>
          </w:p>
        </w:tc>
        <w:tc>
          <w:tcPr>
            <w:tcW w:w="46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pacing w:val="0"/>
                <w:w w:val="100"/>
                <w:kern w:val="0"/>
                <w:position w:val="0"/>
                <w:sz w:val="20"/>
                <w:szCs w:val="20"/>
                <w:bdr w:val="none" w:color="auto" w:sz="0" w:space="0"/>
                <w:shd w:val="clear" w:color="auto" w:fill="auto"/>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5"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8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3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4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8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c>
          <w:tcPr>
            <w:tcW w:w="58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5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color w:val="000000"/>
                <w:spacing w:val="0"/>
                <w:w w:val="100"/>
                <w:kern w:val="0"/>
                <w:position w:val="0"/>
                <w:sz w:val="24"/>
                <w:szCs w:val="24"/>
                <w:bdr w:val="none" w:color="auto" w:sz="0" w:space="0"/>
                <w:shd w:val="clear" w:color="auto" w:fill="auto"/>
                <w:lang w:val="en-US" w:eastAsia="zh-CN" w:bidi="ar"/>
              </w:rPr>
              <w:t>0</w:t>
            </w:r>
          </w:p>
        </w:tc>
        <w:tc>
          <w:tcPr>
            <w:tcW w:w="6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3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3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c>
          <w:tcPr>
            <w:tcW w:w="4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Microsoft YaHei" w:cs="Times New Roman"/>
                <w:color w:val="000000"/>
                <w:spacing w:val="0"/>
                <w:w w:val="100"/>
                <w:kern w:val="0"/>
                <w:position w:val="0"/>
                <w:sz w:val="24"/>
                <w:szCs w:val="24"/>
                <w:bdr w:val="none" w:color="auto" w:sz="0" w:space="0"/>
                <w:shd w:val="clear" w:color="auto" w:fill="auto"/>
                <w:lang w:val="en-US" w:eastAsia="zh-CN" w:bidi="ar"/>
              </w:rPr>
              <w:t>0</w:t>
            </w:r>
          </w:p>
        </w:tc>
      </w:tr>
    </w:tbl>
    <w:p>
      <w:pPr>
        <w:keepNext w:val="0"/>
        <w:keepLines w:val="0"/>
        <w:widowControl/>
        <w:suppressLineNumbers w:val="0"/>
        <w:spacing w:before="0" w:beforeAutospacing="0" w:after="259" w:afterAutospacing="0" w:line="1" w:lineRule="atLeast"/>
        <w:ind w:left="0" w:right="0"/>
        <w:jc w:val="left"/>
        <w:rPr>
          <w:rFonts w:hint="default" w:ascii="Times New Roman" w:hAnsi="Times New Roman" w:cs="Times New Roman"/>
          <w:sz w:val="24"/>
          <w:szCs w:val="24"/>
        </w:rPr>
      </w:pPr>
      <w:r>
        <w:rPr>
          <w:rFonts w:hint="default" w:ascii="Times New Roman" w:hAnsi="Times New Roman" w:eastAsia="Times New Roman" w:cs="Times New Roman"/>
          <w:color w:val="000000"/>
          <w:spacing w:val="0"/>
          <w:w w:val="100"/>
          <w:kern w:val="0"/>
          <w:position w:val="0"/>
          <w:sz w:val="24"/>
          <w:szCs w:val="24"/>
          <w:shd w:val="clear" w:color="auto" w:fill="auto"/>
          <w:lang w:val="en-US" w:eastAsia="zh-CN" w:bidi="ar"/>
        </w:rPr>
        <w:t> </w:t>
      </w:r>
    </w:p>
    <w:p>
      <w:pPr>
        <w:pStyle w:val="6"/>
        <w:keepNext w:val="0"/>
        <w:keepLines w:val="0"/>
        <w:widowControl/>
        <w:suppressLineNumbers w:val="0"/>
        <w:spacing w:before="0" w:beforeAutospacing="0" w:after="260" w:afterAutospacing="0"/>
        <w:ind w:left="0" w:right="0" w:firstLine="620"/>
        <w:rPr>
          <w:sz w:val="27"/>
          <w:szCs w:val="27"/>
        </w:rPr>
      </w:pPr>
      <w:r>
        <w:rPr>
          <w:rFonts w:hint="eastAsia" w:ascii="方正黑体_GBK" w:hAnsi="方正黑体_GBK" w:eastAsia="方正黑体_GBK" w:cs="方正黑体_GBK"/>
          <w:spacing w:val="0"/>
          <w:sz w:val="32"/>
          <w:szCs w:val="32"/>
        </w:rPr>
        <w:t>五、存在的主要问题及改进情况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firstLine="420"/>
        <w:jc w:val="both"/>
        <w:rPr>
          <w:sz w:val="28"/>
          <w:szCs w:val="28"/>
        </w:rPr>
      </w:pPr>
      <w:r>
        <w:rPr>
          <w:rFonts w:hint="default" w:ascii="仿宋_gb2312" w:hAnsi="仿宋_gb2312" w:eastAsia="仿宋_gb2312" w:cs="仿宋_gb2312"/>
          <w:sz w:val="32"/>
          <w:szCs w:val="32"/>
          <w:bdr w:val="none" w:color="auto" w:sz="0" w:space="0"/>
        </w:rPr>
        <w:t>2023年我委政务公开工作虽然取得一定成效，但也存在不足，主要体现在体制机制还有待完善、政府信息公开深度不够、政策解读质量不高等问题。为做好整改提升，2024年，宜春市国有资产监督管理委员会将从以下几个方面抓好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firstLine="420"/>
        <w:jc w:val="both"/>
        <w:rPr>
          <w:sz w:val="28"/>
          <w:szCs w:val="28"/>
        </w:rPr>
      </w:pPr>
      <w:r>
        <w:rPr>
          <w:rFonts w:hint="default" w:ascii="仿宋_gb2312" w:hAnsi="仿宋_gb2312" w:eastAsia="仿宋_gb2312" w:cs="仿宋_gb2312"/>
          <w:sz w:val="32"/>
          <w:szCs w:val="32"/>
          <w:bdr w:val="none" w:color="auto" w:sz="0" w:space="0"/>
        </w:rPr>
        <w:t>一是认真贯彻落实《中华人民共和国政府信息公开条例》要求，加强全委干部政务公开培训学习，提高机关干部对政府信息公开工作的思想认识和业务水平。加强向上级主管部门和兄弟单位的学习，借鉴好的经验做法，结合我委政务公开工作实际，不断完善我委政务公开顶层设计，提升政务公开工作质量及成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firstLine="420"/>
        <w:jc w:val="both"/>
        <w:rPr>
          <w:sz w:val="28"/>
          <w:szCs w:val="28"/>
        </w:rPr>
      </w:pPr>
      <w:r>
        <w:rPr>
          <w:rFonts w:hint="default" w:ascii="仿宋_gb2312" w:hAnsi="仿宋_gb2312" w:eastAsia="仿宋_gb2312" w:cs="仿宋_gb2312"/>
          <w:sz w:val="32"/>
          <w:szCs w:val="32"/>
          <w:bdr w:val="none" w:color="auto" w:sz="0" w:space="0"/>
        </w:rPr>
        <w:t>二是根据文件要求和工作实际，不断完善信息公开专栏设置，不断扩大政府信息公开的范围，加强国有资产信息发布。针对政策解读中存在解读形式单一、内容不够丰富的问题，将进一步明确任务分工，严格程序规范，着力增强政策解读与回应能力。</w:t>
      </w:r>
    </w:p>
    <w:p>
      <w:pPr>
        <w:pStyle w:val="6"/>
        <w:keepNext w:val="0"/>
        <w:keepLines w:val="0"/>
        <w:widowControl/>
        <w:suppressLineNumbers w:val="0"/>
        <w:spacing w:before="0" w:beforeAutospacing="0" w:after="260" w:afterAutospacing="0"/>
        <w:ind w:left="0" w:right="0" w:firstLine="620"/>
        <w:rPr>
          <w:sz w:val="27"/>
          <w:szCs w:val="27"/>
        </w:rPr>
      </w:pPr>
      <w:r>
        <w:rPr>
          <w:rFonts w:hint="eastAsia" w:ascii="方正黑体_GBK" w:hAnsi="方正黑体_GBK" w:eastAsia="方正黑体_GBK" w:cs="方正黑体_GBK"/>
          <w:spacing w:val="0"/>
          <w:sz w:val="32"/>
          <w:szCs w:val="32"/>
        </w:rPr>
        <w:t>六、其他需要报告的事项</w:t>
      </w:r>
    </w:p>
    <w:p>
      <w:pPr>
        <w:keepNext w:val="0"/>
        <w:keepLines w:val="0"/>
        <w:widowControl/>
        <w:suppressLineNumbers w:val="0"/>
        <w:spacing w:before="0" w:beforeAutospacing="0" w:after="0" w:afterAutospacing="0"/>
        <w:ind w:left="0" w:right="0" w:firstLine="640"/>
        <w:jc w:val="left"/>
        <w:rPr>
          <w:rFonts w:hint="default" w:ascii="Times New Roman" w:hAnsi="Times New Roman" w:cs="Times New Roman"/>
          <w:sz w:val="24"/>
          <w:szCs w:val="24"/>
        </w:rPr>
      </w:pPr>
      <w:r>
        <w:rPr>
          <w:rFonts w:hint="default" w:ascii="仿宋_gb2312" w:hAnsi="仿宋_gb2312" w:eastAsia="仿宋_gb2312" w:cs="仿宋_gb2312"/>
          <w:color w:val="000000"/>
          <w:spacing w:val="0"/>
          <w:w w:val="100"/>
          <w:kern w:val="0"/>
          <w:position w:val="0"/>
          <w:sz w:val="32"/>
          <w:szCs w:val="32"/>
          <w:shd w:val="clear" w:color="auto" w:fill="auto"/>
          <w:lang w:val="en-US" w:eastAsia="zh-CN" w:bidi="ar"/>
        </w:rPr>
        <w:t>2023年度，本机关无收取信息处理费情况。</w:t>
      </w:r>
    </w:p>
    <w:p>
      <w:pPr>
        <w:pStyle w:val="6"/>
        <w:keepNext w:val="0"/>
        <w:keepLines w:val="0"/>
        <w:widowControl/>
        <w:suppressLineNumbers w:val="0"/>
        <w:spacing w:before="0" w:beforeAutospacing="0" w:after="0" w:afterAutospacing="0" w:line="600" w:lineRule="atLeast"/>
        <w:ind w:left="0" w:right="0" w:firstLine="620"/>
        <w:jc w:val="center"/>
        <w:rPr>
          <w:sz w:val="27"/>
          <w:szCs w:val="27"/>
        </w:rPr>
      </w:pPr>
      <w:r>
        <w:rPr>
          <w:rFonts w:hint="default" w:ascii="仿宋_gb2312" w:hAnsi="仿宋_gb2312" w:eastAsia="仿宋_gb2312" w:cs="仿宋_gb2312"/>
          <w:spacing w:val="0"/>
          <w:sz w:val="32"/>
          <w:szCs w:val="32"/>
        </w:rPr>
        <w:t> </w:t>
      </w:r>
    </w:p>
    <w:p>
      <w:pPr>
        <w:pStyle w:val="6"/>
        <w:keepNext w:val="0"/>
        <w:keepLines w:val="0"/>
        <w:widowControl/>
        <w:suppressLineNumbers w:val="0"/>
        <w:spacing w:before="0" w:beforeAutospacing="0" w:after="0" w:afterAutospacing="0" w:line="600" w:lineRule="atLeast"/>
        <w:ind w:left="0" w:right="0" w:firstLine="0"/>
        <w:jc w:val="center"/>
        <w:rPr>
          <w:sz w:val="27"/>
          <w:szCs w:val="27"/>
        </w:rPr>
      </w:pPr>
      <w:r>
        <w:rPr>
          <w:rFonts w:hint="default" w:ascii="仿宋_gb2312" w:hAnsi="仿宋_gb2312" w:eastAsia="仿宋_gb2312" w:cs="仿宋_gb2312"/>
          <w:spacing w:val="0"/>
          <w:sz w:val="32"/>
          <w:szCs w:val="32"/>
        </w:rPr>
        <w:t>                     宜春市国有资产监督管理委员会</w:t>
      </w:r>
    </w:p>
    <w:p>
      <w:pPr>
        <w:pStyle w:val="6"/>
        <w:keepNext w:val="0"/>
        <w:keepLines w:val="0"/>
        <w:widowControl/>
        <w:suppressLineNumbers w:val="0"/>
        <w:spacing w:before="0" w:beforeAutospacing="0" w:after="0" w:afterAutospacing="0" w:line="600" w:lineRule="atLeast"/>
        <w:ind w:left="0" w:right="0" w:firstLine="0"/>
        <w:jc w:val="center"/>
        <w:rPr>
          <w:sz w:val="27"/>
          <w:szCs w:val="27"/>
        </w:rPr>
      </w:pPr>
      <w:r>
        <w:rPr>
          <w:rFonts w:hint="default" w:ascii="仿宋_gb2312" w:hAnsi="仿宋_gb2312" w:eastAsia="仿宋_gb2312" w:cs="仿宋_gb2312"/>
          <w:spacing w:val="0"/>
          <w:sz w:val="32"/>
          <w:szCs w:val="32"/>
        </w:rPr>
        <w:t>                    2024年1月8日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仿宋_gb2312" w:hAnsi="仿宋_gb2312" w:eastAsia="仿宋_gb2312" w:cs="仿宋_gb2312"/>
          <w:color w:val="000000"/>
          <w:spacing w:val="0"/>
          <w:w w:val="100"/>
          <w:position w:val="0"/>
          <w:sz w:val="32"/>
          <w:szCs w:val="32"/>
          <w:lang w:val="en-US" w:eastAsia="zh-CN"/>
        </w:rPr>
      </w:pPr>
    </w:p>
    <w:sectPr>
      <w:footerReference r:id="rId5" w:type="default"/>
      <w:footerReference r:id="rId6" w:type="even"/>
      <w:footnotePr>
        <w:numFmt w:val="decimal"/>
      </w:footnotePr>
      <w:pgSz w:w="11900" w:h="16840"/>
      <w:pgMar w:top="1459" w:right="1451" w:bottom="2041" w:left="1549" w:header="1031"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SimSun">
    <w:panose1 w:val="02010600030101010101"/>
    <w:charset w:val="86"/>
    <w:family w:val="auto"/>
    <w:pitch w:val="default"/>
    <w:sig w:usb0="00000003" w:usb1="080E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panose1 w:val="020B0503020204020204"/>
    <w:charset w:val="86"/>
    <w:family w:val="auto"/>
    <w:pitch w:val="default"/>
    <w:sig w:usb0="80000287" w:usb1="2A0F3C52" w:usb2="00000016" w:usb3="00000000" w:csb0="0004001F" w:csb1="00000000"/>
  </w:font>
  <w:font w:name="楷体">
    <w:altName w:val="方正楷体_GBK"/>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3756660</wp:posOffset>
              </wp:positionH>
              <wp:positionV relativeFrom="page">
                <wp:posOffset>9460865</wp:posOffset>
              </wp:positionV>
              <wp:extent cx="137160" cy="118745"/>
              <wp:effectExtent l="0" t="0" r="0" b="0"/>
              <wp:wrapNone/>
              <wp:docPr id="17" name="Shape 17"/>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7" o:spid="_x0000_s1026" o:spt="202" type="#_x0000_t202" style="position:absolute;left:0pt;margin-left:295.8pt;margin-top:744.95pt;height:9.35pt;width:10.8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F3UHVbZAAAADQEAAA8AAAAAAAAAAQAgAAAAOAAAAGRycy9kb3ducmV2&#10;LnhtbFBLAQIUABQAAAAIAIdO4kBPs9W1rAEAAHEDAAAOAAAAAAAAAAEAIAAAAD4BAABkcnMvZTJv&#10;RG9jLnhtbFBLBQYAAAAABgAGAFkBAABc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3756660</wp:posOffset>
              </wp:positionH>
              <wp:positionV relativeFrom="page">
                <wp:posOffset>9460865</wp:posOffset>
              </wp:positionV>
              <wp:extent cx="13716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rPr>
                            <w:t>13</w:t>
                          </w:r>
                        </w:p>
                      </w:txbxContent>
                    </wps:txbx>
                    <wps:bodyPr wrap="none" lIns="0" tIns="0" rIns="0" bIns="0">
                      <a:spAutoFit/>
                    </wps:bodyPr>
                  </wps:wsp>
                </a:graphicData>
              </a:graphic>
            </wp:anchor>
          </w:drawing>
        </mc:Choice>
        <mc:Fallback>
          <w:pict>
            <v:shape id="Shape 19" o:spid="_x0000_s1026" o:spt="202" type="#_x0000_t202" style="position:absolute;left:0pt;margin-left:295.8pt;margin-top:744.95pt;height:9.35pt;width:10.8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d1B1W2QAAAA0BAAAPAAAAAAAAAAEAIAAAADgAAABkcnMvZG93bnJl&#10;di54bWxQSwECFAAUAAAACACHTuJAzThoEa0BAABxAwAADgAAAAAAAAABACAAAAA+AQAAZHJzL2Uy&#10;b0RvYy54bWxQSwUGAAAAAAYABgBZAQAAX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rPr>
                      <w:t>13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5FDA25D"/>
    <w:rsid w:val="19FD69BB"/>
    <w:rsid w:val="27EF2E62"/>
    <w:rsid w:val="4CF3435B"/>
    <w:rsid w:val="6F4E31A7"/>
    <w:rsid w:val="71AEFB49"/>
    <w:rsid w:val="73FBF554"/>
    <w:rsid w:val="7E3B2138"/>
    <w:rsid w:val="7EDFFE50"/>
    <w:rsid w:val="7F9F5A44"/>
    <w:rsid w:val="BBF810A8"/>
    <w:rsid w:val="BEDDFD16"/>
    <w:rsid w:val="BFF95075"/>
    <w:rsid w:val="CFBD3AD4"/>
    <w:rsid w:val="D57F6347"/>
    <w:rsid w:val="DAFFA45B"/>
    <w:rsid w:val="DFDE93FF"/>
    <w:rsid w:val="E3FFDE09"/>
    <w:rsid w:val="EBF7FC42"/>
    <w:rsid w:val="F5D35696"/>
    <w:rsid w:val="F7F6487C"/>
    <w:rsid w:val="FE680A92"/>
    <w:rsid w:val="FEF7DBAD"/>
    <w:rsid w:val="FFE726CD"/>
    <w:rsid w:val="FFEE6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Heading #1|1_"/>
    <w:basedOn w:val="8"/>
    <w:link w:val="11"/>
    <w:qFormat/>
    <w:uiPriority w:val="0"/>
    <w:rPr>
      <w:rFonts w:ascii="SimSun" w:hAnsi="SimSun" w:eastAsia="SimSun" w:cs="SimSun"/>
      <w:sz w:val="142"/>
      <w:szCs w:val="142"/>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spacing w:before="2260" w:after="540"/>
      <w:jc w:val="center"/>
      <w:outlineLvl w:val="0"/>
    </w:pPr>
    <w:rPr>
      <w:rFonts w:ascii="SimSun" w:hAnsi="SimSun" w:eastAsia="SimSun" w:cs="SimSun"/>
      <w:sz w:val="142"/>
      <w:szCs w:val="142"/>
      <w:u w:val="none"/>
      <w:shd w:val="clear" w:color="auto" w:fill="auto"/>
      <w:lang w:val="zh-TW" w:eastAsia="zh-TW" w:bidi="zh-TW"/>
    </w:rPr>
  </w:style>
  <w:style w:type="character" w:customStyle="1" w:styleId="12">
    <w:name w:val="Header or footer|2_"/>
    <w:basedOn w:val="8"/>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pPr>
      <w:widowControl w:val="0"/>
      <w:shd w:val="clear" w:color="auto" w:fill="auto"/>
    </w:pPr>
    <w:rPr>
      <w:sz w:val="20"/>
      <w:szCs w:val="20"/>
      <w:u w:val="none"/>
      <w:shd w:val="clear" w:color="auto" w:fill="auto"/>
      <w:lang w:val="zh-TW" w:eastAsia="zh-TW" w:bidi="zh-TW"/>
    </w:rPr>
  </w:style>
  <w:style w:type="character" w:customStyle="1" w:styleId="14">
    <w:name w:val="Body text|1_"/>
    <w:basedOn w:val="8"/>
    <w:link w:val="15"/>
    <w:qFormat/>
    <w:uiPriority w:val="0"/>
    <w:rPr>
      <w:rFonts w:ascii="SimSun" w:hAnsi="SimSun" w:eastAsia="SimSun" w:cs="SimSun"/>
      <w:sz w:val="28"/>
      <w:szCs w:val="28"/>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44" w:lineRule="auto"/>
      <w:ind w:firstLine="400"/>
    </w:pPr>
    <w:rPr>
      <w:rFonts w:ascii="SimSun" w:hAnsi="SimSun" w:eastAsia="SimSun" w:cs="SimSun"/>
      <w:sz w:val="28"/>
      <w:szCs w:val="28"/>
      <w:u w:val="none"/>
      <w:shd w:val="clear" w:color="auto" w:fill="auto"/>
      <w:lang w:val="zh-TW" w:eastAsia="zh-TW" w:bidi="zh-TW"/>
    </w:rPr>
  </w:style>
  <w:style w:type="character" w:customStyle="1" w:styleId="16">
    <w:name w:val="Heading #2|1_"/>
    <w:basedOn w:val="8"/>
    <w:link w:val="17"/>
    <w:qFormat/>
    <w:uiPriority w:val="0"/>
    <w:rPr>
      <w:rFonts w:ascii="SimSun" w:hAnsi="SimSun" w:eastAsia="SimSun" w:cs="SimSun"/>
      <w:sz w:val="40"/>
      <w:szCs w:val="40"/>
      <w:u w:val="none"/>
      <w:shd w:val="clear" w:color="auto" w:fill="auto"/>
      <w:lang w:val="zh-TW" w:eastAsia="zh-TW" w:bidi="zh-TW"/>
    </w:rPr>
  </w:style>
  <w:style w:type="paragraph" w:customStyle="1" w:styleId="17">
    <w:name w:val="Heading #2|1"/>
    <w:basedOn w:val="1"/>
    <w:link w:val="16"/>
    <w:qFormat/>
    <w:uiPriority w:val="0"/>
    <w:pPr>
      <w:widowControl w:val="0"/>
      <w:shd w:val="clear" w:color="auto" w:fill="auto"/>
      <w:spacing w:after="180" w:line="702" w:lineRule="exact"/>
      <w:jc w:val="center"/>
      <w:outlineLvl w:val="1"/>
    </w:pPr>
    <w:rPr>
      <w:rFonts w:ascii="SimSun" w:hAnsi="SimSun" w:eastAsia="SimSun" w:cs="SimSun"/>
      <w:sz w:val="40"/>
      <w:szCs w:val="40"/>
      <w:u w:val="none"/>
      <w:shd w:val="clear" w:color="auto" w:fill="auto"/>
      <w:lang w:val="zh-TW" w:eastAsia="zh-TW" w:bidi="zh-TW"/>
    </w:rPr>
  </w:style>
  <w:style w:type="character" w:customStyle="1" w:styleId="18">
    <w:name w:val="Heading #3|1_"/>
    <w:basedOn w:val="8"/>
    <w:link w:val="19"/>
    <w:qFormat/>
    <w:uiPriority w:val="0"/>
    <w:rPr>
      <w:rFonts w:ascii="SimSun" w:hAnsi="SimSun" w:eastAsia="SimSun" w:cs="SimSun"/>
      <w:sz w:val="30"/>
      <w:szCs w:val="30"/>
      <w:u w:val="none"/>
      <w:shd w:val="clear" w:color="auto" w:fill="auto"/>
    </w:rPr>
  </w:style>
  <w:style w:type="paragraph" w:customStyle="1" w:styleId="19">
    <w:name w:val="Heading #3|1"/>
    <w:basedOn w:val="1"/>
    <w:link w:val="18"/>
    <w:qFormat/>
    <w:uiPriority w:val="0"/>
    <w:pPr>
      <w:widowControl w:val="0"/>
      <w:shd w:val="clear" w:color="auto" w:fill="auto"/>
      <w:spacing w:after="240"/>
      <w:ind w:left="1420"/>
      <w:outlineLvl w:val="2"/>
    </w:pPr>
    <w:rPr>
      <w:rFonts w:ascii="SimSun" w:hAnsi="SimSun" w:eastAsia="SimSun" w:cs="SimSun"/>
      <w:sz w:val="30"/>
      <w:szCs w:val="30"/>
      <w:u w:val="none"/>
      <w:shd w:val="clear" w:color="auto" w:fill="auto"/>
    </w:rPr>
  </w:style>
  <w:style w:type="character" w:customStyle="1" w:styleId="20">
    <w:name w:val="Header or footer|1_"/>
    <w:basedOn w:val="8"/>
    <w:link w:val="21"/>
    <w:qFormat/>
    <w:uiPriority w:val="0"/>
    <w:rPr>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u w:val="none"/>
      <w:shd w:val="clear" w:color="auto" w:fill="auto"/>
      <w:lang w:val="zh-TW" w:eastAsia="zh-TW" w:bidi="zh-TW"/>
    </w:rPr>
  </w:style>
  <w:style w:type="character" w:customStyle="1" w:styleId="22">
    <w:name w:val="Body text|2_"/>
    <w:basedOn w:val="8"/>
    <w:link w:val="23"/>
    <w:qFormat/>
    <w:uiPriority w:val="0"/>
    <w:rPr>
      <w:rFonts w:ascii="SimSun" w:hAnsi="SimSun" w:eastAsia="SimSun" w:cs="SimSun"/>
      <w:u w:val="none"/>
      <w:shd w:val="clear" w:color="auto" w:fill="auto"/>
      <w:lang w:val="zh-TW" w:eastAsia="zh-TW" w:bidi="zh-TW"/>
    </w:rPr>
  </w:style>
  <w:style w:type="paragraph" w:customStyle="1" w:styleId="23">
    <w:name w:val="Body text|2"/>
    <w:basedOn w:val="1"/>
    <w:link w:val="22"/>
    <w:qFormat/>
    <w:uiPriority w:val="0"/>
    <w:pPr>
      <w:widowControl w:val="0"/>
      <w:shd w:val="clear" w:color="auto" w:fill="auto"/>
      <w:spacing w:line="576" w:lineRule="exact"/>
      <w:ind w:firstLine="620"/>
    </w:pPr>
    <w:rPr>
      <w:rFonts w:ascii="SimSun" w:hAnsi="SimSun" w:eastAsia="SimSun" w:cs="SimSun"/>
      <w:u w:val="none"/>
      <w:shd w:val="clear" w:color="auto" w:fill="auto"/>
      <w:lang w:val="zh-TW" w:eastAsia="zh-TW" w:bidi="zh-TW"/>
    </w:rPr>
  </w:style>
  <w:style w:type="character" w:customStyle="1" w:styleId="24">
    <w:name w:val="Other|1_"/>
    <w:basedOn w:val="8"/>
    <w:link w:val="25"/>
    <w:qFormat/>
    <w:uiPriority w:val="0"/>
    <w:rPr>
      <w:rFonts w:ascii="SimSun" w:hAnsi="SimSun" w:eastAsia="SimSun" w:cs="SimSun"/>
      <w:sz w:val="28"/>
      <w:szCs w:val="28"/>
      <w:u w:val="none"/>
      <w:shd w:val="clear" w:color="auto" w:fill="auto"/>
      <w:lang w:val="zh-TW" w:eastAsia="zh-TW" w:bidi="zh-TW"/>
    </w:rPr>
  </w:style>
  <w:style w:type="paragraph" w:customStyle="1" w:styleId="25">
    <w:name w:val="Other|1"/>
    <w:basedOn w:val="1"/>
    <w:link w:val="24"/>
    <w:qFormat/>
    <w:uiPriority w:val="0"/>
    <w:pPr>
      <w:widowControl w:val="0"/>
      <w:shd w:val="clear" w:color="auto" w:fill="auto"/>
      <w:spacing w:line="444" w:lineRule="auto"/>
      <w:ind w:firstLine="400"/>
    </w:pPr>
    <w:rPr>
      <w:rFonts w:ascii="SimSun" w:hAnsi="SimSun" w:eastAsia="SimSun" w:cs="SimSun"/>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Office_11.8.2.11929_F1E327BC-269C-435d-A152-05C5408002CA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2022-01-26T07:46:00Z</dcterms:created>
  <dc:creator>user</dc:creator>
  <cp:lastModifiedBy>user</cp:lastModifiedBy>
  <cp:lastPrinted>2024-01-08T16:58:00Z</cp:lastPrinted>
  <dcterms:modified xsi:type="dcterms:W3CDTF">2024-01-26T14:49:21Z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32C5B88274500A51C1339A65A66B8893</vt:lpwstr>
  </property>
</Properties>
</file>